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2823" w14:textId="77777777" w:rsidR="006C0694" w:rsidRDefault="006C0694" w:rsidP="00C00401"/>
    <w:p w14:paraId="14F3F8D3" w14:textId="77777777" w:rsidR="00B8307F" w:rsidRDefault="00B8307F" w:rsidP="00B8307F">
      <w:pPr>
        <w:rPr>
          <w:b/>
          <w:bCs/>
          <w:sz w:val="28"/>
          <w:szCs w:val="28"/>
        </w:rPr>
      </w:pPr>
      <w:r>
        <w:rPr>
          <w:b/>
          <w:bCs/>
          <w:sz w:val="28"/>
          <w:szCs w:val="28"/>
        </w:rPr>
        <w:t>Neplaťte více. Jak si nastavit povinné ručení na auto</w:t>
      </w:r>
    </w:p>
    <w:p w14:paraId="29C65119" w14:textId="5EA92700" w:rsidR="00B8307F" w:rsidRDefault="00B8307F" w:rsidP="00B8307F">
      <w:pPr>
        <w:rPr>
          <w:b/>
          <w:bCs/>
        </w:rPr>
      </w:pPr>
      <w:r w:rsidRPr="003A6FFD">
        <w:rPr>
          <w:b/>
          <w:bCs/>
        </w:rPr>
        <w:t>Kdybych to byl býval věděl… Tak bych si udělal lepší pojistku. Bohužel k takovému zjištění dospějí majitelé aut většinou až po první nehodě, kdy zjistí, že jejich asistenční služba neproplatí vyproštění vozidla po nehodě, že při totální škodě přišli o velké peníze za spoluúčast na havarijním pojištění nebo že museli doplatit původně výhodnou cenu za pojistku podle najetých kilometrů, když limit nepatrně „přešvihli“. Proto se určitě bude hodit pár dobrých rad, jak nastavit kvalitní havarijní pojištění i povinné ručení.</w:t>
      </w:r>
    </w:p>
    <w:p w14:paraId="272F40AE" w14:textId="77777777" w:rsidR="00B8307F" w:rsidRPr="00B8307F" w:rsidRDefault="00B8307F" w:rsidP="00B8307F"/>
    <w:p w14:paraId="3822027A" w14:textId="77777777" w:rsidR="00B8307F" w:rsidRPr="002F0DC7" w:rsidRDefault="00B8307F" w:rsidP="00B8307F">
      <w:pPr>
        <w:rPr>
          <w:b/>
          <w:bCs/>
        </w:rPr>
      </w:pPr>
      <w:r w:rsidRPr="002F0DC7">
        <w:rPr>
          <w:b/>
          <w:bCs/>
        </w:rPr>
        <w:t>Navýšení limitu povinného ručení mnoho nestojí, ale mnoho může zachránit</w:t>
      </w:r>
    </w:p>
    <w:p w14:paraId="0BC5C65C" w14:textId="77777777" w:rsidR="00B8307F" w:rsidRDefault="00B8307F" w:rsidP="00B8307F">
      <w:r>
        <w:t>Současný l</w:t>
      </w:r>
      <w:r w:rsidRPr="00A1074A">
        <w:t xml:space="preserve">imit </w:t>
      </w:r>
      <w:r>
        <w:t>35 milionů Kč u povinného ručení už o</w:t>
      </w:r>
      <w:r w:rsidRPr="00A1074A">
        <w:t xml:space="preserve">d 1. ledna </w:t>
      </w:r>
      <w:r>
        <w:t xml:space="preserve">následujícího roku nebude </w:t>
      </w:r>
      <w:r w:rsidRPr="00A1074A">
        <w:t xml:space="preserve">na odškodnění za způsobené škody stačit. Tento limit se </w:t>
      </w:r>
      <w:r>
        <w:t>nově navýší</w:t>
      </w:r>
      <w:r w:rsidRPr="00A1074A">
        <w:t xml:space="preserve"> na </w:t>
      </w:r>
      <w:r>
        <w:t>50</w:t>
      </w:r>
      <w:r w:rsidRPr="00A1074A">
        <w:t xml:space="preserve"> milionů korun. </w:t>
      </w:r>
      <w:r>
        <w:t>Z</w:t>
      </w:r>
      <w:r w:rsidRPr="00A1074A">
        <w:t xml:space="preserve">výšení je způsobeno inflací a rostoucími cenami materiálů a lidské práce. Navzdory tomu doporučujeme </w:t>
      </w:r>
      <w:r>
        <w:t xml:space="preserve">při uzavírání pojištění </w:t>
      </w:r>
      <w:r w:rsidRPr="00A1074A">
        <w:t xml:space="preserve">nastavit limit ideálně minimálně na </w:t>
      </w:r>
      <w:r>
        <w:t>100</w:t>
      </w:r>
      <w:r w:rsidRPr="00A1074A">
        <w:t xml:space="preserve"> milionů korun. Cena se</w:t>
      </w:r>
      <w:r>
        <w:t xml:space="preserve"> už v tomto případě</w:t>
      </w:r>
      <w:r w:rsidRPr="00A1074A">
        <w:t xml:space="preserve"> o tolik neliší a může se to vyplatit</w:t>
      </w:r>
      <w:r>
        <w:t>.</w:t>
      </w:r>
    </w:p>
    <w:p w14:paraId="30CE10A0" w14:textId="77777777" w:rsidR="00B8307F" w:rsidRDefault="00B8307F" w:rsidP="00B8307F"/>
    <w:p w14:paraId="3D576833" w14:textId="77777777" w:rsidR="00B8307F" w:rsidRPr="002F0DC7" w:rsidRDefault="00B8307F" w:rsidP="00B8307F">
      <w:pPr>
        <w:rPr>
          <w:b/>
          <w:bCs/>
        </w:rPr>
      </w:pPr>
      <w:r w:rsidRPr="002F0DC7">
        <w:rPr>
          <w:b/>
          <w:bCs/>
        </w:rPr>
        <w:t xml:space="preserve">K čemu je dobré připojištění tzv. </w:t>
      </w:r>
      <w:r>
        <w:rPr>
          <w:b/>
          <w:bCs/>
        </w:rPr>
        <w:t>p</w:t>
      </w:r>
      <w:r w:rsidRPr="002F0DC7">
        <w:rPr>
          <w:b/>
          <w:bCs/>
        </w:rPr>
        <w:t>římé likvidace</w:t>
      </w:r>
      <w:r>
        <w:rPr>
          <w:b/>
          <w:bCs/>
        </w:rPr>
        <w:t xml:space="preserve"> v případě nezaviněné nehody</w:t>
      </w:r>
      <w:r w:rsidRPr="002F0DC7">
        <w:rPr>
          <w:b/>
          <w:bCs/>
        </w:rPr>
        <w:t>?</w:t>
      </w:r>
    </w:p>
    <w:p w14:paraId="5D454FE1" w14:textId="77777777" w:rsidR="00B8307F" w:rsidRDefault="00B8307F" w:rsidP="00B8307F">
      <w:r>
        <w:t xml:space="preserve">Ne každý už se s touto možností setkal. </w:t>
      </w:r>
      <w:r w:rsidRPr="008842F2">
        <w:t xml:space="preserve">Některé pojišťovny ho </w:t>
      </w:r>
      <w:r>
        <w:t xml:space="preserve">nicméně </w:t>
      </w:r>
      <w:r w:rsidRPr="008842F2">
        <w:t xml:space="preserve">nabízejí dokonce jako součást povinného ručení, </w:t>
      </w:r>
      <w:r>
        <w:t xml:space="preserve">zatímco </w:t>
      </w:r>
      <w:r w:rsidRPr="008842F2">
        <w:t xml:space="preserve">u </w:t>
      </w:r>
      <w:r>
        <w:t>jiných</w:t>
      </w:r>
      <w:r w:rsidRPr="008842F2">
        <w:t xml:space="preserve"> </w:t>
      </w:r>
      <w:r>
        <w:t xml:space="preserve">si </w:t>
      </w:r>
      <w:r w:rsidRPr="008842F2">
        <w:t>je můžete</w:t>
      </w:r>
      <w:r>
        <w:t xml:space="preserve"> přidat</w:t>
      </w:r>
      <w:r w:rsidRPr="008842F2">
        <w:t xml:space="preserve"> za malý roční poplatek. Toto pojištění vás ochrání v případě, že se stanete účastníkem dopravní nehody, kterou jste nezpůsobili.</w:t>
      </w:r>
    </w:p>
    <w:p w14:paraId="47166565" w14:textId="77777777" w:rsidR="00B8307F" w:rsidRDefault="00B8307F" w:rsidP="00B8307F">
      <w:r w:rsidRPr="00D9329A">
        <w:rPr>
          <w:i/>
          <w:iCs/>
        </w:rPr>
        <w:t>„Vaše pojišťovna vám poskytne finanční prostředky na opravu vozu a následně si tyto peníze vymáhá z pojišťovny viníka nehody. Tento proces může být komplikovanější například tehdy, pokud je viníkem cizinec s pojišťovnou v zahraničí. S cizinci a jejich pojišťovnami může být komunikace náročnější a toto doplňkové pojištění vás před těmito komplikacemi ochrání. Navíc můžete získat nadstandardní výhodu v podobě náhradního vozidla, které můžete využít během doby opravy vašeho vozu ve smluvním servisu,“</w:t>
      </w:r>
      <w:r>
        <w:t xml:space="preserve"> vysvětluje Adam Kaška, regionální ředitel </w:t>
      </w:r>
      <w:proofErr w:type="spellStart"/>
      <w:r>
        <w:t>FinGO</w:t>
      </w:r>
      <w:proofErr w:type="spellEnd"/>
      <w:r>
        <w:t>.</w:t>
      </w:r>
    </w:p>
    <w:p w14:paraId="2CC7E7BE" w14:textId="77777777" w:rsidR="00B8307F" w:rsidRDefault="00B8307F" w:rsidP="00B8307F"/>
    <w:p w14:paraId="413CBACB" w14:textId="77777777" w:rsidR="00B8307F" w:rsidRPr="002F0DC7" w:rsidRDefault="00B8307F" w:rsidP="00B8307F">
      <w:pPr>
        <w:rPr>
          <w:b/>
          <w:bCs/>
        </w:rPr>
      </w:pPr>
      <w:r w:rsidRPr="002F0DC7">
        <w:rPr>
          <w:b/>
          <w:bCs/>
        </w:rPr>
        <w:t>Pozor na základní asistenční služby!</w:t>
      </w:r>
    </w:p>
    <w:p w14:paraId="51D6D530" w14:textId="77777777" w:rsidR="00B8307F" w:rsidRDefault="00B8307F" w:rsidP="00B8307F">
      <w:r w:rsidRPr="00FA132B">
        <w:t>Jistě znáte situaci, kdy se snažíte na pojištění co nejvíce ušetřit, a tak si vyberete</w:t>
      </w:r>
      <w:r>
        <w:t xml:space="preserve"> </w:t>
      </w:r>
      <w:r w:rsidRPr="00FA132B">
        <w:t>to nejlevnější řešení, ať už s pomocí poradce nebo online. Doporučuj</w:t>
      </w:r>
      <w:r>
        <w:t>eme ovšem, abyste</w:t>
      </w:r>
      <w:r w:rsidRPr="00FA132B">
        <w:t xml:space="preserve"> v takových případech </w:t>
      </w:r>
      <w:r>
        <w:t xml:space="preserve">byli </w:t>
      </w:r>
      <w:r w:rsidRPr="00FA132B">
        <w:t>opatrn</w:t>
      </w:r>
      <w:r>
        <w:t>í</w:t>
      </w:r>
      <w:r w:rsidRPr="00FA132B">
        <w:t xml:space="preserve"> a důkladně se podíva</w:t>
      </w:r>
      <w:r>
        <w:t>li</w:t>
      </w:r>
      <w:r w:rsidRPr="00FA132B">
        <w:t xml:space="preserve"> na to, co je v ceně zahrnuto. Mohlo by se totiž stát, že přijdete o doplňkové pojištění pro případ nehod, které jste nezavinili, nebo že základní asistenční služby nezahrnují odtah vozu při poruše, vyproštění vozidla, pomoc při nedostatku paliva nebo vybití baterie. </w:t>
      </w:r>
      <w:r>
        <w:t xml:space="preserve">Rozdíl přitom činní </w:t>
      </w:r>
      <w:r w:rsidRPr="00FA132B">
        <w:t>maximálně několi</w:t>
      </w:r>
      <w:r>
        <w:t>k</w:t>
      </w:r>
      <w:r w:rsidRPr="00FA132B">
        <w:t xml:space="preserve"> </w:t>
      </w:r>
      <w:r w:rsidRPr="00FA132B">
        <w:lastRenderedPageBreak/>
        <w:t xml:space="preserve">set korun ročně. </w:t>
      </w:r>
      <w:r>
        <w:t>Kvalitnější</w:t>
      </w:r>
      <w:r w:rsidRPr="00FA132B">
        <w:t xml:space="preserve"> asistenční služby</w:t>
      </w:r>
      <w:r>
        <w:t xml:space="preserve"> vás</w:t>
      </w:r>
      <w:r w:rsidRPr="00FA132B">
        <w:t xml:space="preserve"> </w:t>
      </w:r>
      <w:r>
        <w:t xml:space="preserve">zkrátka </w:t>
      </w:r>
      <w:r w:rsidRPr="00FA132B">
        <w:t xml:space="preserve">mohou </w:t>
      </w:r>
      <w:r>
        <w:t xml:space="preserve">ochránit </w:t>
      </w:r>
      <w:r w:rsidRPr="00FA132B">
        <w:t>před řadou nepříjemností.</w:t>
      </w:r>
    </w:p>
    <w:p w14:paraId="57CC9298" w14:textId="77777777" w:rsidR="00B8307F" w:rsidRDefault="00B8307F" w:rsidP="00B8307F"/>
    <w:p w14:paraId="39BD6B4E" w14:textId="77777777" w:rsidR="00B8307F" w:rsidRPr="002F0DC7" w:rsidRDefault="00B8307F" w:rsidP="00B8307F">
      <w:pPr>
        <w:rPr>
          <w:b/>
          <w:bCs/>
        </w:rPr>
      </w:pPr>
      <w:r>
        <w:rPr>
          <w:b/>
          <w:bCs/>
        </w:rPr>
        <w:t>Jakou si zvolit h</w:t>
      </w:r>
      <w:r w:rsidRPr="002F0DC7">
        <w:rPr>
          <w:b/>
          <w:bCs/>
        </w:rPr>
        <w:t>avarijní spoluúčast?</w:t>
      </w:r>
    </w:p>
    <w:p w14:paraId="32CA5326" w14:textId="77777777" w:rsidR="00B8307F" w:rsidRDefault="00B8307F" w:rsidP="00B8307F">
      <w:r>
        <w:t xml:space="preserve">Následuje další velmi důležitá otázka, a to jakou vybrat spoluúčast. </w:t>
      </w:r>
      <w:r w:rsidRPr="00870748">
        <w:t>Spoluúčast je částka, kterou pojištěný z nákladů na škodu</w:t>
      </w:r>
      <w:r>
        <w:t xml:space="preserve"> </w:t>
      </w:r>
      <w:r w:rsidRPr="00870748">
        <w:t>hradí sám. Jinými slovy, je to částka, kterou pojištěný platí při každém pojistném plnění. Může být stanovena jako pevná částka (fixní spoluúčast) nebo jako určité procento z výše pojistného plnění (procentuální spoluúčast).</w:t>
      </w:r>
      <w:r>
        <w:t xml:space="preserve"> Je tedy lepší vybrat procentuální, nebo fixní?</w:t>
      </w:r>
    </w:p>
    <w:p w14:paraId="16E49B0B" w14:textId="77777777" w:rsidR="00B8307F" w:rsidRDefault="00B8307F" w:rsidP="00B8307F">
      <w:r w:rsidRPr="00B34728">
        <w:t>Představ</w:t>
      </w:r>
      <w:r>
        <w:t>t</w:t>
      </w:r>
      <w:r w:rsidRPr="00B34728">
        <w:t xml:space="preserve">e si, </w:t>
      </w:r>
      <w:r>
        <w:t>že v současnosti</w:t>
      </w:r>
      <w:r w:rsidRPr="00B34728">
        <w:t xml:space="preserve"> </w:t>
      </w:r>
      <w:r>
        <w:t xml:space="preserve">vlastníte </w:t>
      </w:r>
      <w:r w:rsidRPr="00B34728">
        <w:t xml:space="preserve">auto v hodnotě 300 </w:t>
      </w:r>
      <w:r>
        <w:t>tisíc</w:t>
      </w:r>
      <w:r w:rsidRPr="00B34728">
        <w:t xml:space="preserve"> korun. </w:t>
      </w:r>
      <w:r>
        <w:t>Na výběr tedy máte</w:t>
      </w:r>
      <w:r w:rsidRPr="00B34728">
        <w:t xml:space="preserve"> havarijní pojištění s</w:t>
      </w:r>
      <w:r>
        <w:t xml:space="preserve"> procentuální </w:t>
      </w:r>
      <w:r w:rsidRPr="00B34728">
        <w:t xml:space="preserve">5% spoluúčastí za 7 </w:t>
      </w:r>
      <w:r>
        <w:t>000</w:t>
      </w:r>
      <w:r w:rsidRPr="00B34728">
        <w:t xml:space="preserve"> korun ročně, pojištění za 7 300 korun ročně s</w:t>
      </w:r>
      <w:r>
        <w:t xml:space="preserve"> fixní</w:t>
      </w:r>
      <w:r w:rsidRPr="00B34728">
        <w:t xml:space="preserve"> spoluúčastí 5 </w:t>
      </w:r>
      <w:r>
        <w:t>000</w:t>
      </w:r>
      <w:r w:rsidRPr="00B34728">
        <w:t xml:space="preserve"> korun nebo pojištění za 7 </w:t>
      </w:r>
      <w:r>
        <w:t>000</w:t>
      </w:r>
      <w:r w:rsidRPr="00B34728">
        <w:t xml:space="preserve"> korun ročně s</w:t>
      </w:r>
      <w:r>
        <w:t xml:space="preserve"> fixní </w:t>
      </w:r>
      <w:r w:rsidRPr="00B34728">
        <w:t xml:space="preserve">spoluúčastí 10 </w:t>
      </w:r>
      <w:r>
        <w:t>000</w:t>
      </w:r>
      <w:r w:rsidRPr="00B34728">
        <w:t xml:space="preserve"> korun. </w:t>
      </w:r>
    </w:p>
    <w:p w14:paraId="5B1CBE59" w14:textId="77777777" w:rsidR="00B8307F" w:rsidRDefault="00B8307F" w:rsidP="00B8307F">
      <w:r w:rsidRPr="00B34728">
        <w:t xml:space="preserve">V důsledku nadšení z nového auta a </w:t>
      </w:r>
      <w:r>
        <w:t>nedostatečného seznámení s jeho chováním, dotáčivostí a brzdnou silou například můžete nabourat do stromu</w:t>
      </w:r>
      <w:r w:rsidRPr="00B34728">
        <w:t xml:space="preserve">. Opravna škodu </w:t>
      </w:r>
      <w:r>
        <w:t>může posoudit</w:t>
      </w:r>
      <w:r w:rsidRPr="00B34728">
        <w:t xml:space="preserve"> jako totální zničení. Při 5% spoluúčasti by pojišťovna odečetla z odškodného 15 tisíc korun, při fixní spoluúčasti buď 5 tisíc nebo 10 tisíc korun. Doporučuj</w:t>
      </w:r>
      <w:r>
        <w:t xml:space="preserve">e se proto </w:t>
      </w:r>
      <w:r w:rsidRPr="00B34728">
        <w:t xml:space="preserve">volit možnost fixní spoluúčasti. V těžkých případech, kdy je pojištění nejvíc potřeba, je to výhodnější. Nemluvě o luxusních vozech v hodnotě 1 milionu </w:t>
      </w:r>
      <w:r>
        <w:t xml:space="preserve">korun </w:t>
      </w:r>
      <w:r w:rsidRPr="00B34728">
        <w:t>a více, kde je rozdíl ještě výraznější. Dobrý poradce vám s výběrem pomůže a ukáže rozdíly</w:t>
      </w:r>
      <w:r>
        <w:t xml:space="preserve"> mezi jednotlivými typy pojištění</w:t>
      </w:r>
      <w:r w:rsidRPr="00B34728">
        <w:t>.</w:t>
      </w:r>
    </w:p>
    <w:p w14:paraId="5076C3CF" w14:textId="77777777" w:rsidR="00B8307F" w:rsidRDefault="00B8307F" w:rsidP="00B8307F"/>
    <w:p w14:paraId="78BF55DD" w14:textId="77777777" w:rsidR="00B8307F" w:rsidRPr="002F0DC7" w:rsidRDefault="00B8307F" w:rsidP="00B8307F">
      <w:pPr>
        <w:rPr>
          <w:b/>
          <w:bCs/>
        </w:rPr>
      </w:pPr>
      <w:r w:rsidRPr="002F0DC7">
        <w:rPr>
          <w:b/>
          <w:bCs/>
        </w:rPr>
        <w:t>Roční nájezd kilometrů se při překročení limitu může prodražit</w:t>
      </w:r>
    </w:p>
    <w:p w14:paraId="365D43DE" w14:textId="4186A5ED" w:rsidR="00C1615D" w:rsidRDefault="00B8307F" w:rsidP="00CF1D0C">
      <w:r>
        <w:t>Některé české pojišťovny dnes nabízí tzv. zvýhodnění při nižším nájezdu km pro klienty, kteří najezdí třeba do 10 tisíc kilometrů za rok. Pokud plánujete toto pojištění využít, dobře to zvažte. Zvlášť při online sjednávání může omylem dojít k tomu, že zaškrtnete, že ujedete méně než 5 tisíc kilometrů. V takovém případě si pojišťovna ve výročí smlouvy vyžádá stav tachometru a při vyúčtování vás pak může čekat nemilé překvapení. Tato varianta pojištění se doporučuje využívat například pro druhé auto v rodině, které je používáno jen zřídka, u kterého si můžete být jisti, že v něm neujedete více než 5 nebo 10 tisíc kilometrů.</w:t>
      </w:r>
    </w:p>
    <w:p w14:paraId="24AEC96C" w14:textId="77777777" w:rsidR="00B8307F" w:rsidRDefault="00B8307F" w:rsidP="00C00401">
      <w:pPr>
        <w:rPr>
          <w:i/>
          <w:iCs/>
          <w:sz w:val="20"/>
          <w:szCs w:val="20"/>
        </w:rPr>
      </w:pPr>
    </w:p>
    <w:p w14:paraId="12732200" w14:textId="77777777" w:rsidR="00B8307F" w:rsidRDefault="00B8307F" w:rsidP="00C00401">
      <w:pPr>
        <w:rPr>
          <w:i/>
          <w:iCs/>
          <w:sz w:val="20"/>
          <w:szCs w:val="20"/>
        </w:rPr>
      </w:pPr>
    </w:p>
    <w:p w14:paraId="64F2365B" w14:textId="60720D3F" w:rsidR="00712072" w:rsidRPr="00C00401" w:rsidRDefault="00712072" w:rsidP="00C00401">
      <w:pPr>
        <w:rPr>
          <w:i/>
          <w:iCs/>
          <w:sz w:val="20"/>
          <w:szCs w:val="20"/>
        </w:rPr>
      </w:pPr>
      <w:r w:rsidRPr="00C00401">
        <w:rPr>
          <w:i/>
          <w:iCs/>
          <w:sz w:val="20"/>
          <w:szCs w:val="20"/>
        </w:rPr>
        <w:t xml:space="preserve">O společnosti </w:t>
      </w:r>
      <w:hyperlink r:id="rId10" w:history="1">
        <w:proofErr w:type="spellStart"/>
        <w:r w:rsidRPr="008E71A0">
          <w:rPr>
            <w:rStyle w:val="Hypertextovodkaz"/>
            <w:i/>
            <w:iCs/>
            <w:sz w:val="20"/>
            <w:szCs w:val="20"/>
          </w:rPr>
          <w:t>FinGO</w:t>
        </w:r>
        <w:proofErr w:type="spellEnd"/>
      </w:hyperlink>
      <w:r w:rsidRPr="00C00401">
        <w:rPr>
          <w:i/>
          <w:iCs/>
          <w:sz w:val="20"/>
          <w:szCs w:val="20"/>
        </w:rPr>
        <w:t>:</w:t>
      </w:r>
    </w:p>
    <w:p w14:paraId="3B1C2BAF" w14:textId="77777777" w:rsidR="00712072" w:rsidRPr="00C00401" w:rsidRDefault="00712072" w:rsidP="00C00401">
      <w:pPr>
        <w:rPr>
          <w:i/>
          <w:iCs/>
          <w:sz w:val="20"/>
          <w:szCs w:val="20"/>
        </w:rPr>
      </w:pPr>
      <w:r w:rsidRPr="00C00401">
        <w:rPr>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w:t>
      </w:r>
      <w:r w:rsidRPr="00C00401">
        <w:rPr>
          <w:i/>
          <w:iCs/>
          <w:sz w:val="20"/>
          <w:szCs w:val="20"/>
        </w:rPr>
        <w:lastRenderedPageBreak/>
        <w:t>rostla nejrychleji ze všech.  Významný podíl produkce FinGO.cz pochází z online příležitostí, které společnost sama vytváří pro své vázané zástupce.</w:t>
      </w:r>
    </w:p>
    <w:p w14:paraId="42C49E42" w14:textId="77777777" w:rsidR="00712072" w:rsidRPr="00C00401" w:rsidRDefault="00712072" w:rsidP="00C00401">
      <w:pPr>
        <w:rPr>
          <w:i/>
          <w:iCs/>
          <w:sz w:val="20"/>
          <w:szCs w:val="20"/>
        </w:rPr>
      </w:pPr>
      <w:r w:rsidRPr="00C00401">
        <w:rPr>
          <w:i/>
          <w:iCs/>
          <w:sz w:val="20"/>
          <w:szCs w:val="20"/>
        </w:rPr>
        <w:t xml:space="preserve">Společnost </w:t>
      </w:r>
      <w:proofErr w:type="spellStart"/>
      <w:r w:rsidRPr="00C00401">
        <w:rPr>
          <w:i/>
          <w:iCs/>
          <w:sz w:val="20"/>
          <w:szCs w:val="20"/>
        </w:rPr>
        <w:t>FinGO</w:t>
      </w:r>
      <w:proofErr w:type="spellEnd"/>
      <w:r w:rsidRPr="00C00401">
        <w:rPr>
          <w:i/>
          <w:iCs/>
          <w:sz w:val="20"/>
          <w:szCs w:val="20"/>
        </w:rPr>
        <w:t xml:space="preserve"> je součástí lokální investiční skupiny </w:t>
      </w:r>
      <w:proofErr w:type="spellStart"/>
      <w:r w:rsidRPr="00C00401">
        <w:rPr>
          <w:i/>
          <w:iCs/>
          <w:sz w:val="20"/>
          <w:szCs w:val="20"/>
        </w:rPr>
        <w:t>InTeFi</w:t>
      </w:r>
      <w:proofErr w:type="spellEnd"/>
      <w:r w:rsidRPr="00C00401">
        <w:rPr>
          <w:i/>
          <w:iCs/>
          <w:sz w:val="20"/>
          <w:szCs w:val="20"/>
        </w:rPr>
        <w:t xml:space="preserve"> </w:t>
      </w:r>
      <w:proofErr w:type="spellStart"/>
      <w:r w:rsidRPr="00C00401">
        <w:rPr>
          <w:i/>
          <w:iCs/>
          <w:sz w:val="20"/>
          <w:szCs w:val="20"/>
        </w:rPr>
        <w:t>Capital</w:t>
      </w:r>
      <w:proofErr w:type="spellEnd"/>
      <w:r w:rsidRPr="00C00401">
        <w:rPr>
          <w:i/>
          <w:iCs/>
          <w:sz w:val="20"/>
          <w:szCs w:val="20"/>
        </w:rPr>
        <w:t xml:space="preserve"> podnikatele a investora Lukáše Nováka. Skupina vlastní a řídí české a slovenské společnosti z oblastí informačních technologií, financí, a </w:t>
      </w:r>
      <w:proofErr w:type="spellStart"/>
      <w:r w:rsidRPr="00C00401">
        <w:rPr>
          <w:i/>
          <w:iCs/>
          <w:sz w:val="20"/>
          <w:szCs w:val="20"/>
        </w:rPr>
        <w:t>real</w:t>
      </w:r>
      <w:proofErr w:type="spellEnd"/>
      <w:r w:rsidRPr="00C00401">
        <w:rPr>
          <w:i/>
          <w:iCs/>
          <w:sz w:val="20"/>
          <w:szCs w:val="20"/>
        </w:rPr>
        <w:t xml:space="preserve"> </w:t>
      </w:r>
      <w:proofErr w:type="spellStart"/>
      <w:r w:rsidRPr="00C00401">
        <w:rPr>
          <w:i/>
          <w:iCs/>
          <w:sz w:val="20"/>
          <w:szCs w:val="20"/>
        </w:rPr>
        <w:t>estate</w:t>
      </w:r>
      <w:proofErr w:type="spellEnd"/>
      <w:r w:rsidRPr="00C00401">
        <w:rPr>
          <w:i/>
          <w:iCs/>
          <w:sz w:val="20"/>
          <w:szCs w:val="20"/>
        </w:rPr>
        <w:t xml:space="preserve"> developmentu. Podíl vlastní například v technologické skupině </w:t>
      </w:r>
      <w:proofErr w:type="spellStart"/>
      <w:r w:rsidRPr="00C00401">
        <w:rPr>
          <w:i/>
          <w:iCs/>
          <w:sz w:val="20"/>
          <w:szCs w:val="20"/>
        </w:rPr>
        <w:t>BiQ</w:t>
      </w:r>
      <w:proofErr w:type="spellEnd"/>
      <w:r w:rsidRPr="00C00401">
        <w:rPr>
          <w:i/>
          <w:iCs/>
          <w:sz w:val="20"/>
          <w:szCs w:val="20"/>
        </w:rPr>
        <w:t xml:space="preserve">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p w14:paraId="0BF820F9" w14:textId="77777777" w:rsidR="0096059C" w:rsidRPr="00BA0D1B" w:rsidRDefault="0096059C" w:rsidP="00C00401">
      <w:pPr>
        <w:rPr>
          <w:i/>
          <w:iCs/>
          <w:sz w:val="20"/>
          <w:szCs w:val="20"/>
        </w:rPr>
      </w:pPr>
      <w:r w:rsidRPr="007774BA">
        <w:rPr>
          <w:noProof/>
        </w:rPr>
        <w:drawing>
          <wp:anchor distT="0" distB="0" distL="114300" distR="114300" simplePos="0" relativeHeight="251659264" behindDoc="0" locked="0" layoutInCell="1" allowOverlap="1" wp14:anchorId="49159F83" wp14:editId="5D954120">
            <wp:simplePos x="0" y="0"/>
            <wp:positionH relativeFrom="margin">
              <wp:posOffset>3605530</wp:posOffset>
            </wp:positionH>
            <wp:positionV relativeFrom="paragraph">
              <wp:posOffset>331470</wp:posOffset>
            </wp:positionV>
            <wp:extent cx="460375" cy="431800"/>
            <wp:effectExtent l="0" t="0" r="0" b="6350"/>
            <wp:wrapSquare wrapText="bothSides"/>
            <wp:docPr id="2096601148" name="Obráze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41F04EFA" wp14:editId="3B12AB4E">
            <wp:simplePos x="0" y="0"/>
            <wp:positionH relativeFrom="column">
              <wp:posOffset>4643755</wp:posOffset>
            </wp:positionH>
            <wp:positionV relativeFrom="paragraph">
              <wp:posOffset>321945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5642AB0C" wp14:editId="56A8D1C9">
            <wp:simplePos x="0" y="0"/>
            <wp:positionH relativeFrom="margin">
              <wp:posOffset>3957955</wp:posOffset>
            </wp:positionH>
            <wp:positionV relativeFrom="paragraph">
              <wp:posOffset>321945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5408" behindDoc="0" locked="0" layoutInCell="1" allowOverlap="1" wp14:anchorId="2584F179" wp14:editId="7830868C">
            <wp:simplePos x="0" y="0"/>
            <wp:positionH relativeFrom="margin">
              <wp:align>right</wp:align>
            </wp:positionH>
            <wp:positionV relativeFrom="paragraph">
              <wp:posOffset>340995</wp:posOffset>
            </wp:positionV>
            <wp:extent cx="572135" cy="431800"/>
            <wp:effectExtent l="0" t="0" r="0" b="6350"/>
            <wp:wrapSquare wrapText="bothSides"/>
            <wp:docPr id="1430303569" name="Obráze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p>
    <w:p w14:paraId="397423D6" w14:textId="77777777" w:rsidR="00945026" w:rsidRPr="00BA0D1B" w:rsidRDefault="00945026">
      <w:pPr>
        <w:rPr>
          <w:i/>
          <w:iCs/>
          <w:sz w:val="20"/>
          <w:szCs w:val="20"/>
        </w:rPr>
      </w:pPr>
    </w:p>
    <w:sectPr w:rsidR="00945026" w:rsidRPr="00BA0D1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A2A6" w14:textId="77777777" w:rsidR="00FC20FD" w:rsidRDefault="00FC20FD" w:rsidP="00C00401">
      <w:r>
        <w:separator/>
      </w:r>
    </w:p>
  </w:endnote>
  <w:endnote w:type="continuationSeparator" w:id="0">
    <w:p w14:paraId="2455B559" w14:textId="77777777" w:rsidR="00FC20FD" w:rsidRDefault="00FC20FD"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4DFD8327" w14:textId="77777777" w:rsidTr="7E791658">
      <w:trPr>
        <w:trHeight w:val="300"/>
      </w:trPr>
      <w:tc>
        <w:tcPr>
          <w:tcW w:w="3020" w:type="dxa"/>
        </w:tcPr>
        <w:p w14:paraId="01B97112" w14:textId="77777777" w:rsidR="7E791658" w:rsidRDefault="7E791658" w:rsidP="00C00401">
          <w:pPr>
            <w:pStyle w:val="Zhlav"/>
          </w:pPr>
        </w:p>
      </w:tc>
      <w:tc>
        <w:tcPr>
          <w:tcW w:w="3020" w:type="dxa"/>
        </w:tcPr>
        <w:p w14:paraId="423365E7" w14:textId="77777777" w:rsidR="7E791658" w:rsidRDefault="7E791658" w:rsidP="00C00401">
          <w:pPr>
            <w:pStyle w:val="Zhlav"/>
          </w:pPr>
        </w:p>
      </w:tc>
      <w:tc>
        <w:tcPr>
          <w:tcW w:w="3020" w:type="dxa"/>
        </w:tcPr>
        <w:p w14:paraId="48D928C2" w14:textId="77777777" w:rsidR="7E791658" w:rsidRDefault="7E791658" w:rsidP="00C00401">
          <w:pPr>
            <w:pStyle w:val="Zhlav"/>
          </w:pPr>
        </w:p>
      </w:tc>
    </w:tr>
  </w:tbl>
  <w:p w14:paraId="119D3F7F"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BE47" w14:textId="77777777" w:rsidR="00FC20FD" w:rsidRDefault="00FC20FD" w:rsidP="00C00401">
      <w:r>
        <w:separator/>
      </w:r>
    </w:p>
  </w:footnote>
  <w:footnote w:type="continuationSeparator" w:id="0">
    <w:p w14:paraId="2A42C234" w14:textId="77777777" w:rsidR="00FC20FD" w:rsidRDefault="00FC20FD"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0A53"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31136EE4" wp14:editId="5191DF78">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7A9608FC" w14:textId="77777777" w:rsidR="009B404E" w:rsidRDefault="009B404E" w:rsidP="00C0040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0C"/>
    <w:rsid w:val="00034BF7"/>
    <w:rsid w:val="00065953"/>
    <w:rsid w:val="000713D1"/>
    <w:rsid w:val="000F5D63"/>
    <w:rsid w:val="00160E3C"/>
    <w:rsid w:val="001653DF"/>
    <w:rsid w:val="0017405B"/>
    <w:rsid w:val="001B4EA0"/>
    <w:rsid w:val="001C1AAA"/>
    <w:rsid w:val="001C1F70"/>
    <w:rsid w:val="001D567F"/>
    <w:rsid w:val="001E6AB9"/>
    <w:rsid w:val="002027C0"/>
    <w:rsid w:val="00204ED4"/>
    <w:rsid w:val="00233E02"/>
    <w:rsid w:val="00264A1D"/>
    <w:rsid w:val="002869F9"/>
    <w:rsid w:val="00287DF5"/>
    <w:rsid w:val="002A6A80"/>
    <w:rsid w:val="002B088A"/>
    <w:rsid w:val="002F5FAF"/>
    <w:rsid w:val="003522F3"/>
    <w:rsid w:val="003760BD"/>
    <w:rsid w:val="003857C5"/>
    <w:rsid w:val="003C0040"/>
    <w:rsid w:val="003E5D6E"/>
    <w:rsid w:val="00411B6E"/>
    <w:rsid w:val="004741F4"/>
    <w:rsid w:val="004866AD"/>
    <w:rsid w:val="004924B0"/>
    <w:rsid w:val="004B5145"/>
    <w:rsid w:val="004F1B81"/>
    <w:rsid w:val="00583C0E"/>
    <w:rsid w:val="005970E4"/>
    <w:rsid w:val="005E58CB"/>
    <w:rsid w:val="00605457"/>
    <w:rsid w:val="00632190"/>
    <w:rsid w:val="00633335"/>
    <w:rsid w:val="00663AE0"/>
    <w:rsid w:val="0067309D"/>
    <w:rsid w:val="00694522"/>
    <w:rsid w:val="006A1663"/>
    <w:rsid w:val="006A3B3C"/>
    <w:rsid w:val="006B0EF0"/>
    <w:rsid w:val="006B3147"/>
    <w:rsid w:val="006C0694"/>
    <w:rsid w:val="00701C48"/>
    <w:rsid w:val="00712072"/>
    <w:rsid w:val="0071760B"/>
    <w:rsid w:val="0075290E"/>
    <w:rsid w:val="007570DA"/>
    <w:rsid w:val="007774BA"/>
    <w:rsid w:val="0079C103"/>
    <w:rsid w:val="007A0EAA"/>
    <w:rsid w:val="007A1EB1"/>
    <w:rsid w:val="007A5EA9"/>
    <w:rsid w:val="007B0B03"/>
    <w:rsid w:val="007D7647"/>
    <w:rsid w:val="007F382D"/>
    <w:rsid w:val="00803EB2"/>
    <w:rsid w:val="00804BB6"/>
    <w:rsid w:val="008118A6"/>
    <w:rsid w:val="00816CA2"/>
    <w:rsid w:val="00863DB8"/>
    <w:rsid w:val="0089657F"/>
    <w:rsid w:val="008A6C2D"/>
    <w:rsid w:val="008B3101"/>
    <w:rsid w:val="008E71A0"/>
    <w:rsid w:val="008F4BB2"/>
    <w:rsid w:val="00912EE6"/>
    <w:rsid w:val="00942094"/>
    <w:rsid w:val="00945026"/>
    <w:rsid w:val="0096059C"/>
    <w:rsid w:val="009726B3"/>
    <w:rsid w:val="009A6856"/>
    <w:rsid w:val="009B404E"/>
    <w:rsid w:val="00A22F12"/>
    <w:rsid w:val="00A3692D"/>
    <w:rsid w:val="00A60878"/>
    <w:rsid w:val="00A65C3F"/>
    <w:rsid w:val="00AC7B69"/>
    <w:rsid w:val="00AF67E6"/>
    <w:rsid w:val="00B043B2"/>
    <w:rsid w:val="00B13378"/>
    <w:rsid w:val="00B13DE2"/>
    <w:rsid w:val="00B17E76"/>
    <w:rsid w:val="00B21DC7"/>
    <w:rsid w:val="00B26449"/>
    <w:rsid w:val="00B33F2B"/>
    <w:rsid w:val="00B609D8"/>
    <w:rsid w:val="00B6406A"/>
    <w:rsid w:val="00B8307F"/>
    <w:rsid w:val="00BA0D1B"/>
    <w:rsid w:val="00BE547D"/>
    <w:rsid w:val="00BF41AC"/>
    <w:rsid w:val="00C00401"/>
    <w:rsid w:val="00C10D7B"/>
    <w:rsid w:val="00C1615D"/>
    <w:rsid w:val="00C5060F"/>
    <w:rsid w:val="00C50D3A"/>
    <w:rsid w:val="00C97907"/>
    <w:rsid w:val="00CB6C20"/>
    <w:rsid w:val="00CB7DF8"/>
    <w:rsid w:val="00CD7CB4"/>
    <w:rsid w:val="00CF09EA"/>
    <w:rsid w:val="00CF1D0C"/>
    <w:rsid w:val="00D0331D"/>
    <w:rsid w:val="00D36DD1"/>
    <w:rsid w:val="00D42865"/>
    <w:rsid w:val="00D525EB"/>
    <w:rsid w:val="00D773A8"/>
    <w:rsid w:val="00DA6895"/>
    <w:rsid w:val="00DC7264"/>
    <w:rsid w:val="00DF2E9C"/>
    <w:rsid w:val="00E07AB6"/>
    <w:rsid w:val="00E1263A"/>
    <w:rsid w:val="00E21E20"/>
    <w:rsid w:val="00E26FD2"/>
    <w:rsid w:val="00E50585"/>
    <w:rsid w:val="00EB106F"/>
    <w:rsid w:val="00ED5BF1"/>
    <w:rsid w:val="00EE60A2"/>
    <w:rsid w:val="00EF2E1C"/>
    <w:rsid w:val="00F12B29"/>
    <w:rsid w:val="00F1446A"/>
    <w:rsid w:val="00F17032"/>
    <w:rsid w:val="00F17089"/>
    <w:rsid w:val="00F17816"/>
    <w:rsid w:val="00F21C92"/>
    <w:rsid w:val="00F4264B"/>
    <w:rsid w:val="00F44CAB"/>
    <w:rsid w:val="00F53CB5"/>
    <w:rsid w:val="00F643F8"/>
    <w:rsid w:val="00F76739"/>
    <w:rsid w:val="00F93579"/>
    <w:rsid w:val="00FC20FD"/>
    <w:rsid w:val="00FC4C51"/>
    <w:rsid w:val="00FE6C13"/>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75D4"/>
  <w15:chartTrackingRefBased/>
  <w15:docId w15:val="{7DFEC3E3-CC08-4DBE-9000-E29581E3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character" w:styleId="Odkaznakoment">
    <w:name w:val="annotation reference"/>
    <w:basedOn w:val="Standardnpsmoodstavce"/>
    <w:uiPriority w:val="99"/>
    <w:semiHidden/>
    <w:unhideWhenUsed/>
    <w:rsid w:val="00B26449"/>
    <w:rPr>
      <w:sz w:val="16"/>
      <w:szCs w:val="16"/>
    </w:rPr>
  </w:style>
  <w:style w:type="paragraph" w:styleId="Textkomente">
    <w:name w:val="annotation text"/>
    <w:basedOn w:val="Normln"/>
    <w:link w:val="TextkomenteChar"/>
    <w:uiPriority w:val="99"/>
    <w:semiHidden/>
    <w:unhideWhenUsed/>
    <w:rsid w:val="00B26449"/>
    <w:pPr>
      <w:spacing w:line="240" w:lineRule="auto"/>
    </w:pPr>
    <w:rPr>
      <w:sz w:val="20"/>
      <w:szCs w:val="20"/>
    </w:rPr>
  </w:style>
  <w:style w:type="character" w:customStyle="1" w:styleId="TextkomenteChar">
    <w:name w:val="Text komentáře Char"/>
    <w:basedOn w:val="Standardnpsmoodstavce"/>
    <w:link w:val="Textkomente"/>
    <w:uiPriority w:val="99"/>
    <w:semiHidden/>
    <w:rsid w:val="00B26449"/>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B26449"/>
    <w:rPr>
      <w:b/>
      <w:bCs/>
    </w:rPr>
  </w:style>
  <w:style w:type="character" w:customStyle="1" w:styleId="PedmtkomenteChar">
    <w:name w:val="Předmět komentáře Char"/>
    <w:basedOn w:val="TextkomenteChar"/>
    <w:link w:val="Pedmtkomente"/>
    <w:uiPriority w:val="99"/>
    <w:semiHidden/>
    <w:rsid w:val="00B26449"/>
    <w:rPr>
      <w:rFonts w:ascii="Open Sans" w:hAnsi="Open Sans"/>
      <w:b/>
      <w:bCs/>
      <w:sz w:val="20"/>
      <w:szCs w:val="20"/>
    </w:rPr>
  </w:style>
  <w:style w:type="paragraph" w:styleId="Revize">
    <w:name w:val="Revision"/>
    <w:hidden/>
    <w:uiPriority w:val="99"/>
    <w:semiHidden/>
    <w:rsid w:val="00F93579"/>
    <w:pPr>
      <w:spacing w:after="0" w:line="240" w:lineRule="auto"/>
    </w:pPr>
    <w:rPr>
      <w:rFonts w:ascii="Open Sans" w:hAnsi="Open Sans"/>
    </w:rPr>
  </w:style>
  <w:style w:type="paragraph" w:styleId="Textpoznpodarou">
    <w:name w:val="footnote text"/>
    <w:basedOn w:val="Normln"/>
    <w:link w:val="TextpoznpodarouChar"/>
    <w:uiPriority w:val="99"/>
    <w:semiHidden/>
    <w:unhideWhenUsed/>
    <w:rsid w:val="00804BB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4BB6"/>
    <w:rPr>
      <w:rFonts w:ascii="Open Sans" w:hAnsi="Open Sans"/>
      <w:sz w:val="20"/>
      <w:szCs w:val="20"/>
    </w:rPr>
  </w:style>
  <w:style w:type="character" w:styleId="Znakapoznpodarou">
    <w:name w:val="footnote reference"/>
    <w:basedOn w:val="Standardnpsmoodstavce"/>
    <w:uiPriority w:val="99"/>
    <w:semiHidden/>
    <w:unhideWhenUsed/>
    <w:rsid w:val="00804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youtube.com/@fingocz31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fingo.cz" TargetMode="External"/><Relationship Id="rId5" Type="http://schemas.openxmlformats.org/officeDocument/2006/relationships/styles" Target="styles.xml"/><Relationship Id="rId15" Type="http://schemas.openxmlformats.org/officeDocument/2006/relationships/hyperlink" Target="https://www.linkedin.com/company/fingo-cz/" TargetMode="External"/><Relationship Id="rId10" Type="http://schemas.openxmlformats.org/officeDocument/2006/relationships/hyperlink" Target="https://www.fingo.cz/"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7" ma:contentTypeDescription="Vytvoří nový dokument" ma:contentTypeScope="" ma:versionID="76fcb9d83123c0f0012259b1857bc05c">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acf00371a7325d97bbc589a1c702091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970E-B574-44A5-8B91-8E4A673BA8F9}"/>
</file>

<file path=customXml/itemProps2.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3.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4.xml><?xml version="1.0" encoding="utf-8"?>
<ds:datastoreItem xmlns:ds="http://schemas.openxmlformats.org/officeDocument/2006/customXml" ds:itemID="{CAE3A90D-D1F2-4F97-AC2C-EDB95749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FinGO_Sablona</Template>
  <TotalTime>65</TotalTime>
  <Pages>3</Pages>
  <Words>861</Words>
  <Characters>5084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Matouš Dvořák</cp:lastModifiedBy>
  <cp:revision>19</cp:revision>
  <dcterms:created xsi:type="dcterms:W3CDTF">2023-07-31T14:33:00Z</dcterms:created>
  <dcterms:modified xsi:type="dcterms:W3CDTF">2023-08-21T13:10:00Z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